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18</w:t>
      </w:r>
    </w:p>
    <w:p>
      <w:r>
        <w:t>Bundesgericht (BGE), 1979-03-23, DE</w:t>
      </w:r>
    </w:p>
    <w:p>
      <w:r>
        <w:rPr>
          <w:b/>
        </w:rPr>
        <w:t xml:space="preserve">Quelle: </w:t>
      </w:r>
      <w:r>
        <w:t>https://mcp.opencaselaw.ch/entscheid/bge_105 III 18</w:t>
      </w:r>
    </w:p>
    <w:p>
      <w:r>
        <w:t>FR: ATF 105 III 18</w:t>
      </w:r>
    </w:p>
    <w:p>
      <w:r>
        <w:t>IT: DTF 105 III 18</w:t>
      </w:r>
    </w:p>
    <w:p>
      <w:pPr>
        <w:pStyle w:val="Heading2"/>
      </w:pPr>
      <w:r>
        <w:t>Regeste</w:t>
      </w:r>
    </w:p>
    <w:p>
      <w:r>
        <w:t>Regeste Arrestvollzug. Ein rechtsmissbräuchlich erwirkter Arrest darf vom Betreibungsamt nicht vollzogen werden.</w:t>
      </w:r>
    </w:p>
    <w:p>
      <w:pPr>
        <w:pStyle w:val="Heading2"/>
      </w:pPr>
      <w:r>
        <w:t>Erwägungen</w:t>
      </w:r>
    </w:p>
    <w:p>
      <w:r>
        <w:rPr>
          <w:b/>
        </w:rPr>
        <w:t>E. 3</w:t>
      </w:r>
    </w:p>
    <w:p>
      <w:r>
        <w:t>Hingegen darf der Arrest deswegen nicht vollzogen werden, weil er rechtsmissbräuchlich erwirkt worden ist. Gleichgültig, ob der Rekurrent aus eigenem Antrieb nach Appenzell zu Vergleichsgesprächen kam oder auf Aufforderung durch seinen Geschäftspartner hin, widerspricht es jeglichem Vertrauen im Geschäftsverkehr, wenn bei Ankunft des Rekurrenten dessen ganzes Vermögen, das er mit sich führt, mit Arrest belegt wird. Das Vorgehen der Gläubigerin, die wusste, dass Vergleichsverhandlungen bevorstanden, mit denen der laufende Prozess vielleicht hätte beendigt werden können, ist hinterhältig und stellt eine krasse Verletzung des Grundsatzes von Treu und Glauben dar. Ein solches Vorgehen verdient keinen Rechtsschutz ( Art. 2 ZGB ; dazu etwa BGE 94 I 374 , BGE 94 III 82 /83, BGE 85 III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